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bidi w:val="0"/>
        <w:spacing w:lineRule="auto" w:line="240" w:beforeAutospacing="1" w:afterAutospacing="1"/>
        <w:ind w:left="0" w:right="0" w:firstLine="737"/>
        <w:jc w:val="both"/>
        <w:outlineLvl w:val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-6"/>
          <w:kern w:val="2"/>
          <w:sz w:val="28"/>
          <w:szCs w:val="28"/>
          <w:lang w:eastAsia="ru-RU"/>
        </w:rPr>
        <w:t>Статья 24 ФЗ-248.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>
      <w:pPr>
        <w:pStyle w:val="Style15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0" w:name="dst100275"/>
      <w:bookmarkEnd w:id="0"/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>
      <w:pPr>
        <w:pStyle w:val="Style15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1" w:name="dst100276"/>
      <w:bookmarkEnd w:id="1"/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>
      <w:pPr>
        <w:pStyle w:val="Style15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2" w:name="dst100277"/>
      <w:bookmarkEnd w:id="2"/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>
      <w:pPr>
        <w:pStyle w:val="Style15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3" w:name="dst100278"/>
      <w:bookmarkEnd w:id="3"/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>
      <w:pPr>
        <w:pStyle w:val="Style15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4" w:name="dst100279"/>
      <w:bookmarkEnd w:id="4"/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9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>
      <w:pPr>
        <w:pStyle w:val="Style15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5" w:name="dst100280"/>
      <w:bookmarkEnd w:id="5"/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11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>
      <w:pPr>
        <w:pStyle w:val="Style15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</w:rPr>
        <w:t>Отделение ФГПН ФГКУ «Специальное управление ФПС № 84 МЧС России»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spacing w:val="-6"/>
          <w:kern w:val="2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20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b082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b082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DocSecurity>0</DocSecurity>
  <Pages>2</Pages>
  <Words>361</Words>
  <Characters>2657</Characters>
  <CharactersWithSpaces>3010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/>
  <dc:language>ru-RU</dc:language>
  <cp:lastModifiedBy/>
  <dcterms:modified xsi:type="dcterms:W3CDTF">2023-03-31T09:20:14Z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